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Lietošanas noteikumi</w:t>
      </w:r>
    </w:p>
    <w:p>
      <w:pPr>
        <w:spacing w:after="240"/>
      </w:pPr>
      <w:r>
        <w:rPr>
          <w:color w:val="5C6873"/>
          <w:sz w:val="22"/>
        </w:rPr>
        <w:t>Scaffolding.lv tīmekļvietnes lietošanas noteikumi</w:t>
      </w:r>
    </w:p>
    <w:tbl>
      <w:tblPr>
        <w:tblW w:type="dxa" w:w="9638"/>
        <w:jc w:val="left"/>
        <w:tblLayout w:type="fixed"/>
        <w:tblLook w:firstColumn="1" w:firstRow="1" w:lastColumn="0" w:lastRow="0" w:noHBand="0" w:noVBand="1" w:val="04A0"/>
        <w:tblInd w:w="0" w:type="dxa"/>
      </w:tblPr>
      <w:tblGrid>
        <w:gridCol w:w="2400"/>
        <w:gridCol w:w="7238"/>
      </w:tblGrid>
      <w:tr>
        <w:tc>
          <w:tcPr>
            <w:tcW w:type="dxa" w:w="2400"/>
            <w:tcMar>
              <w:top w:w="80" w:type="dxa"/>
              <w:bottom w:w="80" w:type="dxa"/>
              <w:start w:w="120" w:type="dxa"/>
              <w:end w:w="120" w:type="dxa"/>
            </w:tcMar>
            <w:shd w:fill="EEF6FA"/>
            <w:vAlign w:val="center"/>
          </w:tcPr>
          <w:p>
            <w:pPr>
              <w:spacing w:after="0"/>
            </w:pPr>
            <w:r>
              <w:rPr>
                <w:b/>
                <w:color w:val="17324D"/>
              </w:rPr>
              <w:t>Vietnes pārvaldītājs</w:t>
            </w:r>
          </w:p>
        </w:tc>
        <w:tc>
          <w:tcPr>
            <w:tcW w:type="dxa" w:w="7238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spacing w:after="0"/>
            </w:pPr>
            <w:r>
              <w:t>Mazcenu Mājas SIA, reģ. Nr. 42403010324</w:t>
            </w:r>
          </w:p>
        </w:tc>
      </w:tr>
      <w:tr>
        <w:tc>
          <w:tcPr>
            <w:tcW w:type="dxa" w:w="2400"/>
            <w:tcMar>
              <w:top w:w="80" w:type="dxa"/>
              <w:bottom w:w="80" w:type="dxa"/>
              <w:start w:w="120" w:type="dxa"/>
              <w:end w:w="120" w:type="dxa"/>
            </w:tcMar>
            <w:shd w:fill="EEF6FA"/>
            <w:vAlign w:val="center"/>
          </w:tcPr>
          <w:p>
            <w:pPr>
              <w:spacing w:after="0"/>
            </w:pPr>
            <w:r>
              <w:rPr>
                <w:b/>
                <w:color w:val="17324D"/>
              </w:rPr>
              <w:t>Tīmekļvietne</w:t>
            </w:r>
          </w:p>
        </w:tc>
        <w:tc>
          <w:tcPr>
            <w:tcW w:type="dxa" w:w="7238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spacing w:after="0"/>
            </w:pPr>
            <w:r>
              <w:t>https://scaffolding.lv</w:t>
            </w:r>
          </w:p>
        </w:tc>
      </w:tr>
      <w:tr>
        <w:tc>
          <w:tcPr>
            <w:tcW w:type="dxa" w:w="2400"/>
            <w:tcMar>
              <w:top w:w="80" w:type="dxa"/>
              <w:bottom w:w="80" w:type="dxa"/>
              <w:start w:w="120" w:type="dxa"/>
              <w:end w:w="120" w:type="dxa"/>
            </w:tcMar>
            <w:shd w:fill="EEF6FA"/>
            <w:vAlign w:val="center"/>
          </w:tcPr>
          <w:p>
            <w:pPr>
              <w:spacing w:after="0"/>
            </w:pPr>
            <w:r>
              <w:rPr>
                <w:b/>
                <w:color w:val="17324D"/>
              </w:rPr>
              <w:t>Saziņa</w:t>
            </w:r>
          </w:p>
        </w:tc>
        <w:tc>
          <w:tcPr>
            <w:tcW w:type="dxa" w:w="7238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spacing w:after="0"/>
            </w:pPr>
            <w:r>
              <w:t>info@scaffolding.lv  |  +371 28228858</w:t>
            </w:r>
          </w:p>
        </w:tc>
      </w:tr>
      <w:tr>
        <w:tc>
          <w:tcPr>
            <w:tcW w:type="dxa" w:w="2400"/>
            <w:tcMar>
              <w:top w:w="80" w:type="dxa"/>
              <w:bottom w:w="80" w:type="dxa"/>
              <w:start w:w="120" w:type="dxa"/>
              <w:end w:w="120" w:type="dxa"/>
            </w:tcMar>
            <w:shd w:fill="EEF6FA"/>
            <w:vAlign w:val="center"/>
          </w:tcPr>
          <w:p>
            <w:pPr>
              <w:spacing w:after="0"/>
            </w:pPr>
            <w:r>
              <w:rPr>
                <w:b/>
                <w:color w:val="17324D"/>
              </w:rPr>
              <w:t>Spēkā</w:t>
            </w:r>
          </w:p>
        </w:tc>
        <w:tc>
          <w:tcPr>
            <w:tcW w:type="dxa" w:w="7238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</w:tcPr>
          <w:p>
            <w:pPr>
              <w:spacing w:after="0"/>
            </w:pPr>
            <w:r>
              <w:t>No publicēšanas dienas</w:t>
            </w:r>
          </w:p>
        </w:tc>
      </w:tr>
    </w:tbl>
    <w:p>
      <w:pPr>
        <w:spacing w:after="0"/>
      </w:pPr>
    </w:p>
    <w:p>
      <w:pPr>
        <w:pStyle w:val="Heading1"/>
      </w:pPr>
      <w:r>
        <w:t>1. Vispārīgie noteikumi</w:t>
      </w:r>
    </w:p>
    <w:p>
      <w:pPr>
        <w:keepLines w:val="0"/>
        <w:ind w:left="482" w:hanging="482"/>
      </w:pPr>
      <w:r>
        <w:rPr>
          <w:b/>
        </w:rPr>
        <w:t xml:space="preserve">1.1.  </w:t>
      </w:r>
      <w:r>
        <w:t>Šie noteikumi regulē tīmekļvietnes Scaffolding.lv lietošanu. Apmeklējot vai izmantojot vietni, lietotājs apņemas to izmantot godprātīgi un atbilstoši normatīvajiem aktiem.</w:t>
      </w:r>
    </w:p>
    <w:p>
      <w:pPr>
        <w:keepLines w:val="0"/>
        <w:ind w:left="482" w:hanging="482"/>
      </w:pPr>
      <w:r>
        <w:rPr>
          <w:b/>
        </w:rPr>
        <w:t xml:space="preserve">1.2.  </w:t>
      </w:r>
      <w:r>
        <w:t>Preču pasūtījumiem papildus piemēro Pirkšanas noteikumus, Atteikuma tiesību noteikumus un Privātuma politiku. Ja dokumenti ir pretrunā, konkrētajam pirkumam piemēro Pirkšanas noteikumus un imperatīvās normatīvo aktu prasības.</w:t>
      </w:r>
    </w:p>
    <w:p>
      <w:pPr>
        <w:pStyle w:val="Heading1"/>
      </w:pPr>
      <w:r>
        <w:t>2. Informācija vietnē</w:t>
      </w:r>
    </w:p>
    <w:p>
      <w:pPr>
        <w:keepLines w:val="0"/>
        <w:ind w:left="482" w:hanging="482"/>
      </w:pPr>
      <w:r>
        <w:rPr>
          <w:b/>
        </w:rPr>
        <w:t xml:space="preserve">2.1.  </w:t>
      </w:r>
      <w:r>
        <w:t>Pārvaldītājs cenšas nodrošināt, lai preču apraksti, tehniskie dati, attēli, cenas un pieejamības informācija būtu precīza. Attēli ir ilustratīvi; izšķirošs ir preces nosaukums, modelis, komplektācija un tehniskais apraksts.</w:t>
      </w:r>
    </w:p>
    <w:p>
      <w:pPr>
        <w:keepLines w:val="0"/>
        <w:ind w:left="482" w:hanging="482"/>
      </w:pPr>
      <w:r>
        <w:rPr>
          <w:b/>
        </w:rPr>
        <w:t xml:space="preserve">2.2.  </w:t>
      </w:r>
      <w:r>
        <w:t>Acīmredzamas tehniskas vai ievades kļūdas nav saistošas. Ja kļūda ietekmē pasūtījumu, pārvaldītājs par to informē pircēju un piedāvā pasūtījumu apstiprināt ar pareizo informāciju vai to atcelt.</w:t>
      </w:r>
    </w:p>
    <w:p>
      <w:pPr>
        <w:keepLines w:val="0"/>
        <w:ind w:left="482" w:hanging="482"/>
      </w:pPr>
      <w:r>
        <w:rPr>
          <w:b/>
        </w:rPr>
        <w:t xml:space="preserve">2.3.  </w:t>
      </w:r>
      <w:r>
        <w:t>Informācija vietnē neaizstāj ražotāja montāžas, drošības un lietošanas instrukcijas. Darbam augstumā paredzētas iekārtas drīkst lietot tikai atbilstoši instrukcijām un darba aizsardzības prasībām.</w:t>
      </w:r>
    </w:p>
    <w:p>
      <w:pPr>
        <w:pStyle w:val="Heading1"/>
      </w:pPr>
      <w:r>
        <w:t>3. Atļauta un aizliegta lietošana</w:t>
      </w:r>
    </w:p>
    <w:p>
      <w:pPr>
        <w:keepLines w:val="0"/>
        <w:ind w:left="482" w:hanging="482"/>
      </w:pPr>
      <w:r>
        <w:rPr>
          <w:b/>
        </w:rPr>
        <w:t xml:space="preserve">3.1.  </w:t>
      </w:r>
      <w:r>
        <w:t>Vietni drīkst izmantot informācijas iegūšanai, preču salīdzināšanai, pasūtījumu veikšanai un saziņai ar pārvaldītāju.</w:t>
      </w:r>
    </w:p>
    <w:p>
      <w:pPr>
        <w:keepLines w:val="0"/>
        <w:ind w:left="482" w:hanging="482"/>
      </w:pPr>
      <w:r>
        <w:rPr>
          <w:b/>
        </w:rPr>
        <w:t xml:space="preserve">3.2.  </w:t>
      </w:r>
      <w:r>
        <w:t>Aizliegts traucēt vietnes darbību, mēģināt iegūt neatļautu piekļuvi sistēmām vai datiem, izplatīt ļaunprogrammatūru, automatizēti iegūt datus pārmērīgā apjomā, apiet drošības līdzekļus vai izmantot vietni krāpnieciskā nolūkā.</w:t>
      </w:r>
    </w:p>
    <w:p>
      <w:pPr>
        <w:keepLines w:val="0"/>
        <w:ind w:left="482" w:hanging="482"/>
      </w:pPr>
      <w:r>
        <w:rPr>
          <w:b/>
        </w:rPr>
        <w:t xml:space="preserve">3.3.  </w:t>
      </w:r>
      <w:r>
        <w:t>Lietotājs norāda patiesu un aktuālu informāciju. Ja vietnē tiek izmantots lietotāja konts, lietotājs atbild par piekļuves datu konfidencialitāti un nekavējoties informē pārvaldītāju par iespējamu neatļautu izmantošanu.</w:t>
      </w:r>
    </w:p>
    <w:p>
      <w:pPr>
        <w:pStyle w:val="Heading1"/>
      </w:pPr>
      <w:r>
        <w:t>4. Intelektuālais īpašums</w:t>
      </w:r>
    </w:p>
    <w:p>
      <w:pPr>
        <w:keepLines w:val="0"/>
        <w:ind w:left="482" w:hanging="482"/>
      </w:pPr>
      <w:r>
        <w:rPr>
          <w:b/>
        </w:rPr>
        <w:t xml:space="preserve">4.1.  </w:t>
      </w:r>
      <w:r>
        <w:t>Vietnes dizains, teksti, katalogi, fotogrāfijas, grafiskie elementi, preču atlases risinājumi un cits pārvaldītāja radīts saturs ir aizsargāts normatīvajos aktos noteiktajā kārtībā.</w:t>
      </w:r>
    </w:p>
    <w:p>
      <w:pPr>
        <w:keepLines w:val="0"/>
        <w:ind w:left="482" w:hanging="482"/>
      </w:pPr>
      <w:r>
        <w:rPr>
          <w:b/>
        </w:rPr>
        <w:t xml:space="preserve">4.2.  </w:t>
      </w:r>
      <w:r>
        <w:t>Saturu drīkst apskatīt un saglabāt personīgai vai iekšējai uzņēmuma vajadzībai. Publicēšana, pārveidošana, sistemātiska kopēšana vai komerciāla izplatīšana bez tiesību īpašnieka atļaujas nav atļauta. Ražotāju preču zīmes pieder attiecīgajiem īpašniekiem.</w:t>
      </w:r>
    </w:p>
    <w:p>
      <w:pPr>
        <w:pStyle w:val="Heading1"/>
      </w:pPr>
      <w:r>
        <w:t>5. Pieejamība un ārējās saites</w:t>
      </w:r>
    </w:p>
    <w:p>
      <w:pPr>
        <w:keepLines w:val="0"/>
        <w:ind w:left="482" w:hanging="482"/>
      </w:pPr>
      <w:r>
        <w:rPr>
          <w:b/>
        </w:rPr>
        <w:t xml:space="preserve">5.1.  </w:t>
      </w:r>
      <w:r>
        <w:t>Pārvaldītājs var īslaicīgi ierobežot vietnes pieejamību uzturēšanas, drošības vai tehnisku iemeslu dēļ un nevar garantēt nepārtrauktu darbību jebkuros apstākļos.</w:t>
      </w:r>
    </w:p>
    <w:p>
      <w:pPr>
        <w:keepLines w:val="0"/>
        <w:ind w:left="482" w:hanging="482"/>
      </w:pPr>
      <w:r>
        <w:rPr>
          <w:b/>
        </w:rPr>
        <w:t xml:space="preserve">5.2.  </w:t>
      </w:r>
      <w:r>
        <w:t>Vietnē var būt saites uz trešo personu tīmekļvietnēm. Pārvaldītājs nekontrolē šo vietņu saturu un privātuma praksi; pirms to lietošanas jāiepazīstas ar attiecīgajiem noteikumiem.</w:t>
      </w:r>
    </w:p>
    <w:p>
      <w:pPr>
        <w:pStyle w:val="Heading1"/>
      </w:pPr>
      <w:r>
        <w:t>6. Atbildība</w:t>
      </w:r>
    </w:p>
    <w:p>
      <w:pPr>
        <w:keepLines w:val="0"/>
        <w:ind w:left="482" w:hanging="482"/>
      </w:pPr>
      <w:r>
        <w:rPr>
          <w:b/>
        </w:rPr>
        <w:t xml:space="preserve">6.1.  </w:t>
      </w:r>
      <w:r>
        <w:t>Katra puse atbild normatīvajos aktos noteiktajā apjomā. Nekas šajos noteikumos neierobežo patērētāja obligātās tiesības vai atbildību, kuru saskaņā ar likumu nedrīkst izslēgt.</w:t>
      </w:r>
    </w:p>
    <w:p>
      <w:pPr>
        <w:keepLines w:val="0"/>
        <w:ind w:left="482" w:hanging="482"/>
      </w:pPr>
      <w:r>
        <w:rPr>
          <w:b/>
        </w:rPr>
        <w:t xml:space="preserve">6.2.  </w:t>
      </w:r>
      <w:r>
        <w:t>Pārvaldītājs neatbild par zaudējumiem, ko izraisījusi preces lietošana pretēji ražotāja instrukcijām, drošības noteikumiem vai paredzētajam lietojumam.</w:t>
      </w:r>
    </w:p>
    <w:p>
      <w:pPr>
        <w:pStyle w:val="Heading1"/>
      </w:pPr>
      <w:r>
        <w:t>7. Privātums, izmaiņas un strīdi</w:t>
      </w:r>
    </w:p>
    <w:p>
      <w:pPr>
        <w:keepLines w:val="0"/>
        <w:ind w:left="482" w:hanging="482"/>
      </w:pPr>
      <w:r>
        <w:rPr>
          <w:b/>
        </w:rPr>
        <w:t xml:space="preserve">7.1.  </w:t>
      </w:r>
      <w:r>
        <w:t>Personas dati un sīkdatnes tiek apstrādātas saskaņā ar vietnē publicēto Privātuma politiku.</w:t>
      </w:r>
    </w:p>
    <w:p>
      <w:pPr>
        <w:keepLines w:val="0"/>
        <w:ind w:left="482" w:hanging="482"/>
      </w:pPr>
      <w:r>
        <w:rPr>
          <w:b/>
        </w:rPr>
        <w:t xml:space="preserve">7.2.  </w:t>
      </w:r>
      <w:r>
        <w:t>Pārvaldītājs var grozīt šos noteikumus, publicējot jauno redakciju vietnē. Grozījumi nepasliktina jau noslēgta pirkuma nosacījumus bez pušu vienošanās.</w:t>
      </w:r>
    </w:p>
    <w:p>
      <w:pPr>
        <w:keepLines w:val="0"/>
        <w:ind w:left="482" w:hanging="482"/>
      </w:pPr>
      <w:r>
        <w:rPr>
          <w:b/>
        </w:rPr>
        <w:t xml:space="preserve">7.3.  </w:t>
      </w:r>
      <w:r>
        <w:t>Noteikumiem piemēro Latvijas Republikas tiesības. Domstarpības vispirms risina pārrunu ceļā, rakstot uz info@scaffolding.lv. Patērētājs var izmantot normatīvajos aktos paredzētos strīdu risināšanas līdzekļus.</w:t>
      </w:r>
    </w:p>
    <w:p>
      <w:pPr>
        <w:spacing w:before="200"/>
      </w:pPr>
      <w:r>
        <w:rPr>
          <w:i/>
          <w:color w:val="5C6873"/>
        </w:rPr>
        <w:t>Pēdējoreiz atjaunināti 2026. gada 16. jūlijā.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134" w:right="1134" w:bottom="1020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spacing w:after="0"/>
      <w:jc w:val="right"/>
    </w:pPr>
    <w:r>
      <w:rPr>
        <w:color w:val="5C6873"/>
        <w:sz w:val="16"/>
      </w:rPr>
      <w:t xml:space="preserve">Lietošanas noteikumi  • 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spacing w:after="0"/>
    </w:pPr>
    <w:r>
      <w:rPr>
        <w:b/>
        <w:color w:val="5C6873"/>
        <w:sz w:val="17"/>
      </w:rPr>
      <w:t>SCAFFOLDING.LV  |  Mazcenu Mājas SIA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20" w:line="264" w:lineRule="auto"/>
    </w:pPr>
    <w:rPr>
      <w:rFonts w:ascii="Calibri" w:hAnsi="Calibri"/>
      <w:color w:val="263746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40"/>
      <w:outlineLvl w:val="0"/>
    </w:pPr>
    <w:rPr>
      <w:rFonts w:asciiTheme="majorHAnsi" w:eastAsiaTheme="majorEastAsia" w:hAnsiTheme="majorHAnsi" w:cstheme="majorBidi" w:ascii="Calibri" w:hAnsi="Calibri"/>
      <w:b/>
      <w:bCs/>
      <w:color w:val="078BC1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 w:ascii="Calibri" w:hAnsi="Calibri"/>
      <w:b/>
      <w:bCs/>
      <w:color w:val="17324D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17324D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17324D"/>
      <w:spacing w:val="5"/>
      <w:kern w:val="28"/>
      <w:sz w:val="4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 w:line="264" w:lineRule="auto"/>
      <w:ind w:left="510" w:hanging="255"/>
      <w:contextualSpacing/>
    </w:pPr>
    <w:rPr>
      <w:rFonts w:ascii="Calibri" w:hAnsi="Calibri"/>
      <w:sz w:val="21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 w:line="264" w:lineRule="auto"/>
      <w:ind w:left="510" w:hanging="255"/>
      <w:contextualSpacing/>
    </w:pPr>
    <w:rPr>
      <w:rFonts w:ascii="Calibri" w:hAnsi="Calibri"/>
      <w:sz w:val="21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Scaffolding.lv juridiskā informācija</dc:subject>
  <dc:creator>Mazcenu Mājas SIA</dc:creator>
  <cp:keywords/>
  <dc:description>Labota un atjaunināta versija publicēšanai vietnē Scaffolding.lv.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