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Atteikuma tiesības</w:t>
      </w:r>
    </w:p>
    <w:p>
      <w:pPr>
        <w:spacing w:after="240"/>
      </w:pPr>
      <w:r>
        <w:rPr>
          <w:color w:val="5C6873"/>
          <w:sz w:val="22"/>
        </w:rPr>
        <w:t>Informācija patērētājam par distances līguma atcelšanu</w:t>
      </w:r>
    </w:p>
    <w:tbl>
      <w:tblPr>
        <w:tblW w:type="dxa" w:w="9638"/>
        <w:jc w:val="left"/>
        <w:tblLayout w:type="fixed"/>
        <w:tblLook w:firstColumn="1" w:firstRow="1" w:lastColumn="0" w:lastRow="0" w:noHBand="0" w:noVBand="1" w:val="04A0"/>
        <w:tblInd w:w="0" w:type="dxa"/>
      </w:tblPr>
      <w:tblGrid>
        <w:gridCol w:w="2400"/>
        <w:gridCol w:w="7238"/>
      </w:tblGrid>
      <w:tr>
        <w:tc>
          <w:tcPr>
            <w:tcW w:type="dxa" w:w="2400"/>
            <w:tcMar>
              <w:top w:w="80" w:type="dxa"/>
              <w:bottom w:w="80" w:type="dxa"/>
              <w:start w:w="120" w:type="dxa"/>
              <w:end w:w="120" w:type="dxa"/>
            </w:tcMar>
            <w:shd w:fill="EEF6FA"/>
            <w:vAlign w:val="center"/>
          </w:tcPr>
          <w:p>
            <w:pPr>
              <w:spacing w:after="0"/>
            </w:pPr>
            <w:r>
              <w:rPr>
                <w:b/>
                <w:color w:val="17324D"/>
              </w:rPr>
              <w:t>Pārdevējs</w:t>
            </w:r>
          </w:p>
        </w:tc>
        <w:tc>
          <w:tcPr>
            <w:tcW w:type="dxa" w:w="7238"/>
            <w:tcMar>
              <w:top w:w="80" w:type="dxa"/>
              <w:bottom w:w="80" w:type="dxa"/>
              <w:start w:w="120" w:type="dxa"/>
              <w:end w:w="120" w:type="dxa"/>
            </w:tcMar>
            <w:vAlign w:val="center"/>
          </w:tcPr>
          <w:p>
            <w:pPr>
              <w:spacing w:after="0"/>
            </w:pPr>
            <w:r>
              <w:t>Mazcenu Mājas SIA, reģ. Nr. 42403010324, PVN Nr. LV42403010324</w:t>
            </w:r>
          </w:p>
        </w:tc>
      </w:tr>
      <w:tr>
        <w:tc>
          <w:tcPr>
            <w:tcW w:type="dxa" w:w="2400"/>
            <w:tcMar>
              <w:top w:w="80" w:type="dxa"/>
              <w:bottom w:w="80" w:type="dxa"/>
              <w:start w:w="120" w:type="dxa"/>
              <w:end w:w="120" w:type="dxa"/>
            </w:tcMar>
            <w:shd w:fill="EEF6FA"/>
            <w:vAlign w:val="center"/>
          </w:tcPr>
          <w:p>
            <w:pPr>
              <w:spacing w:after="0"/>
            </w:pPr>
            <w:r>
              <w:rPr>
                <w:b/>
                <w:color w:val="17324D"/>
              </w:rPr>
              <w:t>Juridiskā adrese</w:t>
            </w:r>
          </w:p>
        </w:tc>
        <w:tc>
          <w:tcPr>
            <w:tcW w:type="dxa" w:w="7238"/>
            <w:tcMar>
              <w:top w:w="80" w:type="dxa"/>
              <w:bottom w:w="80" w:type="dxa"/>
              <w:start w:w="120" w:type="dxa"/>
              <w:end w:w="120" w:type="dxa"/>
            </w:tcMar>
            <w:vAlign w:val="center"/>
          </w:tcPr>
          <w:p>
            <w:pPr>
              <w:spacing w:after="0"/>
            </w:pPr>
            <w:r>
              <w:t>Vangažu iela 12-37, Rīga, Latvija</w:t>
            </w:r>
          </w:p>
        </w:tc>
      </w:tr>
      <w:tr>
        <w:tc>
          <w:tcPr>
            <w:tcW w:type="dxa" w:w="2400"/>
            <w:tcMar>
              <w:top w:w="80" w:type="dxa"/>
              <w:bottom w:w="80" w:type="dxa"/>
              <w:start w:w="120" w:type="dxa"/>
              <w:end w:w="120" w:type="dxa"/>
            </w:tcMar>
            <w:shd w:fill="EEF6FA"/>
            <w:vAlign w:val="center"/>
          </w:tcPr>
          <w:p>
            <w:pPr>
              <w:spacing w:after="0"/>
            </w:pPr>
            <w:r>
              <w:rPr>
                <w:b/>
                <w:color w:val="17324D"/>
              </w:rPr>
              <w:t>Preču atgriešanas vieta</w:t>
            </w:r>
          </w:p>
        </w:tc>
        <w:tc>
          <w:tcPr>
            <w:tcW w:type="dxa" w:w="7238"/>
            <w:tcMar>
              <w:top w:w="80" w:type="dxa"/>
              <w:bottom w:w="80" w:type="dxa"/>
              <w:start w:w="120" w:type="dxa"/>
              <w:end w:w="120" w:type="dxa"/>
            </w:tcMar>
            <w:vAlign w:val="center"/>
          </w:tcPr>
          <w:p>
            <w:pPr>
              <w:spacing w:after="0"/>
            </w:pPr>
            <w:r>
              <w:t>Scaffolding noliktava, Mārkalnes iela 20, Rīga, LV-1024</w:t>
            </w:r>
          </w:p>
        </w:tc>
      </w:tr>
      <w:tr>
        <w:tc>
          <w:tcPr>
            <w:tcW w:type="dxa" w:w="2400"/>
            <w:tcMar>
              <w:top w:w="80" w:type="dxa"/>
              <w:bottom w:w="80" w:type="dxa"/>
              <w:start w:w="120" w:type="dxa"/>
              <w:end w:w="120" w:type="dxa"/>
            </w:tcMar>
            <w:shd w:fill="EEF6FA"/>
            <w:vAlign w:val="center"/>
          </w:tcPr>
          <w:p>
            <w:pPr>
              <w:spacing w:after="0"/>
            </w:pPr>
            <w:r>
              <w:rPr>
                <w:b/>
                <w:color w:val="17324D"/>
              </w:rPr>
              <w:t>Saziņa</w:t>
            </w:r>
          </w:p>
        </w:tc>
        <w:tc>
          <w:tcPr>
            <w:tcW w:type="dxa" w:w="7238"/>
            <w:tcMar>
              <w:top w:w="80" w:type="dxa"/>
              <w:bottom w:w="80" w:type="dxa"/>
              <w:start w:w="120" w:type="dxa"/>
              <w:end w:w="120" w:type="dxa"/>
            </w:tcMar>
            <w:vAlign w:val="center"/>
          </w:tcPr>
          <w:p>
            <w:pPr>
              <w:spacing w:after="0"/>
            </w:pPr>
            <w:r>
              <w:t>info@scaffolding.lv  |  +371 28228858</w:t>
            </w:r>
          </w:p>
        </w:tc>
      </w:tr>
    </w:tbl>
    <w:p>
      <w:pPr>
        <w:spacing w:after="0"/>
      </w:pPr>
    </w:p>
    <w:tbl>
      <w:tblPr>
        <w:tblW w:type="dxa" w:w="9638"/>
        <w:jc w:val="left"/>
        <w:tblLayout w:type="fixed"/>
        <w:tblLook w:firstColumn="1" w:firstRow="1" w:lastColumn="0" w:lastRow="0" w:noHBand="0" w:noVBand="1" w:val="04A0"/>
        <w:tblInd w:w="0" w:type="dxa"/>
      </w:tblPr>
      <w:tblGrid>
        <w:gridCol w:w="9638"/>
      </w:tblGrid>
      <w:tr>
        <w:tc>
          <w:tcPr>
            <w:tcW w:type="dxa" w:w="9638"/>
            <w:tcMar>
              <w:top w:w="80" w:type="dxa"/>
              <w:bottom w:w="80" w:type="dxa"/>
              <w:start w:w="120" w:type="dxa"/>
              <w:end w:w="120" w:type="dxa"/>
            </w:tcMar>
            <w:shd w:fill="EEF6FA"/>
          </w:tcPr>
          <w:p>
            <w:pPr>
              <w:spacing w:after="0"/>
            </w:pPr>
            <w:r>
              <w:rPr>
                <w:b/>
                <w:color w:val="17324D"/>
              </w:rPr>
              <w:t>Šīs atteikuma tiesības attiecas uz patērētāju — fizisku personu, kura preci iegādājas nolūkam, kas nav saistīts ar saimniecisko vai profesionālo darbību.</w:t>
            </w:r>
          </w:p>
        </w:tc>
      </w:tr>
    </w:tbl>
    <w:p>
      <w:pPr>
        <w:spacing w:after="0"/>
      </w:pPr>
    </w:p>
    <w:p>
      <w:pPr>
        <w:pStyle w:val="Heading1"/>
      </w:pPr>
      <w:r>
        <w:t>1. Atteikuma termiņš</w:t>
      </w:r>
    </w:p>
    <w:p>
      <w:pPr>
        <w:keepLines w:val="0"/>
        <w:ind w:left="482" w:hanging="482"/>
      </w:pPr>
      <w:r>
        <w:rPr>
          <w:b/>
        </w:rPr>
        <w:t xml:space="preserve">1.1.  </w:t>
      </w:r>
      <w:r>
        <w:t>Patērētājam ir tiesības 14 dienu laikā atteikties no distances līguma, nenorādot iemeslu.</w:t>
      </w:r>
    </w:p>
    <w:p>
      <w:pPr>
        <w:keepLines w:val="0"/>
        <w:ind w:left="482" w:hanging="482"/>
      </w:pPr>
      <w:r>
        <w:rPr>
          <w:b/>
        </w:rPr>
        <w:t xml:space="preserve">1.2.  </w:t>
      </w:r>
      <w:r>
        <w:t>Termiņu skaita no dienas, kad patērētājs vai viņa norādīta trešā persona, kas nav pārvadātājs, preci ir saņēmusi. Ja viena pasūtījuma preces saņem atsevišķi, termiņu skaita no pēdējās preces saņemšanas dienas.</w:t>
      </w:r>
    </w:p>
    <w:p>
      <w:pPr>
        <w:pStyle w:val="Heading1"/>
      </w:pPr>
      <w:r>
        <w:t>2. Kā paziņot par atteikumu</w:t>
      </w:r>
    </w:p>
    <w:p>
      <w:pPr>
        <w:keepLines w:val="0"/>
        <w:ind w:left="482" w:hanging="482"/>
      </w:pPr>
      <w:r>
        <w:rPr>
          <w:b/>
        </w:rPr>
        <w:t xml:space="preserve">2.1.  </w:t>
      </w:r>
      <w:r>
        <w:t>Līdz 14 dienu termiņa beigām nosūtiet nepārprotamu paziņojumu uz info@scaffolding.lv. Varat izmantot Scaffolding.lv atteikuma veidlapu, taču tas nav obligāti.</w:t>
      </w:r>
    </w:p>
    <w:p>
      <w:pPr>
        <w:keepLines w:val="0"/>
        <w:ind w:left="482" w:hanging="482"/>
      </w:pPr>
      <w:r>
        <w:rPr>
          <w:b/>
        </w:rPr>
        <w:t xml:space="preserve">2.2.  </w:t>
      </w:r>
      <w:r>
        <w:t>Paziņojumā ieteicams norādīt pasūtījuma numuru, preci, pircēja vārdu, saziņas informāciju un datumu. Termiņš ir ievērots, ja paziņojums nosūtīts pirms 14 dienu termiņa beigām.</w:t>
      </w:r>
    </w:p>
    <w:p>
      <w:pPr>
        <w:pStyle w:val="Heading1"/>
      </w:pPr>
      <w:r>
        <w:t>3. Preces atgriešana</w:t>
      </w:r>
    </w:p>
    <w:p>
      <w:pPr>
        <w:keepLines w:val="0"/>
        <w:ind w:left="482" w:hanging="482"/>
      </w:pPr>
      <w:r>
        <w:rPr>
          <w:b/>
        </w:rPr>
        <w:t xml:space="preserve">3.1.  </w:t>
      </w:r>
      <w:r>
        <w:t>Prece jānodod vai jānosūta atpakaļ ne vēlāk kā 14 dienu laikā pēc atteikuma paziņojuma nosūtīšanas. Pirms ierašanās saņemšanas laiks jāsaskaņo ar pārdevēju.</w:t>
      </w:r>
    </w:p>
    <w:p>
      <w:pPr>
        <w:keepLines w:val="0"/>
        <w:ind w:left="482" w:hanging="482"/>
      </w:pPr>
      <w:r>
        <w:rPr>
          <w:b/>
        </w:rPr>
        <w:t xml:space="preserve">3.2.  </w:t>
      </w:r>
      <w:r>
        <w:t>Preci atgriež Scaffolding noliktavā, Mārkalnes ielā 20, Rīgā, LV-1024. Patērētājs sedz tiešās atgriešanas izmaksas. Ja prece izmēra vai svara dēļ nav nosūtāma pa pastu, atgriešanu organizē patērētājs ar piemērotu transportu; izmaksas ir atkarīgas no pārvadātāja un attāluma. Pārdevējs pēc pieprasījuma var piedāvāt transportu par iepriekš saskaņotu cenu.</w:t>
      </w:r>
    </w:p>
    <w:p>
      <w:pPr>
        <w:keepLines w:val="0"/>
        <w:ind w:left="482" w:hanging="482"/>
      </w:pPr>
      <w:r>
        <w:rPr>
          <w:b/>
        </w:rPr>
        <w:t xml:space="preserve">3.3.  </w:t>
      </w:r>
      <w:r>
        <w:t>Oriģinālais iepakojums atgriešanai nav obligāts, tomēr prece jāiepako pietiekami droši, lai transportēšanas laikā tā netiktu bojāta.</w:t>
      </w:r>
    </w:p>
    <w:p>
      <w:pPr>
        <w:pStyle w:val="Heading1"/>
      </w:pPr>
      <w:r>
        <w:t>4. Naudas atmaksa</w:t>
      </w:r>
    </w:p>
    <w:p>
      <w:pPr>
        <w:keepLines w:val="0"/>
        <w:ind w:left="482" w:hanging="482"/>
      </w:pPr>
      <w:r>
        <w:rPr>
          <w:b/>
        </w:rPr>
        <w:t xml:space="preserve">4.1.  </w:t>
      </w:r>
      <w:r>
        <w:t>Pārdevējs atmaksā no patērētāja saņemtos maksājumus, tostarp standarta piegādes izmaksas, ja tādas bija samaksātas, ne vēlāk kā 14 dienu laikā pēc atteikuma paziņojuma saņemšanas. Papildu izmaksas par patērētāja izvēlētu dārgāku piegādes veidu netiek atlīdzinātas.</w:t>
      </w:r>
    </w:p>
    <w:p>
      <w:pPr>
        <w:keepLines w:val="0"/>
        <w:ind w:left="482" w:hanging="482"/>
      </w:pPr>
      <w:r>
        <w:rPr>
          <w:b/>
        </w:rPr>
        <w:t xml:space="preserve">4.2.  </w:t>
      </w:r>
      <w:r>
        <w:t>Pārdevējs drīkst aizturēt atmaksu līdz preces saņemšanai vai līdz brīdim, kad patērētājs iesniedz pierādījumu par preces nosūtīšanu atpakaļ, atkarībā no tā, kurš notikums iestājas agrāk.</w:t>
      </w:r>
    </w:p>
    <w:p>
      <w:pPr>
        <w:keepLines w:val="0"/>
        <w:ind w:left="482" w:hanging="482"/>
      </w:pPr>
      <w:r>
        <w:rPr>
          <w:b/>
        </w:rPr>
        <w:t xml:space="preserve">4.3.  </w:t>
      </w:r>
      <w:r>
        <w:t>Atmaksa tiek veikta ar tādu pašu maksāšanas līdzekli, kādu izmantoja sākotnējam darījumam, ja vien puses nepārprotami nevienojas citādi. Par atmaksu netiek piemērota maksa.</w:t>
      </w:r>
    </w:p>
    <w:p>
      <w:pPr>
        <w:pStyle w:val="Heading1"/>
      </w:pPr>
      <w:r>
        <w:t>5. Preces pārbaude un vērtības samazinājums</w:t>
      </w:r>
    </w:p>
    <w:p>
      <w:pPr>
        <w:keepLines w:val="0"/>
        <w:ind w:left="482" w:hanging="482"/>
      </w:pPr>
      <w:r>
        <w:rPr>
          <w:b/>
        </w:rPr>
        <w:t xml:space="preserve">5.1.  </w:t>
      </w:r>
      <w:r>
        <w:t>Patērētājs drīkst preci pārbaudīt tik, cik tas būtu iespējams klātienes veikalā, lai noskaidrotu tās raksturu, īpašības un darbību.</w:t>
      </w:r>
    </w:p>
    <w:p>
      <w:pPr>
        <w:keepLines w:val="0"/>
        <w:ind w:left="482" w:hanging="482"/>
      </w:pPr>
      <w:r>
        <w:rPr>
          <w:b/>
        </w:rPr>
        <w:t xml:space="preserve">5.2.  </w:t>
      </w:r>
      <w:r>
        <w:t>Patērētājs atbild par preces vērtības samazinājumu, ja prece lietota vairāk, nekā nepieciešams šādai pārbaudei. Sastatņu vai torņu pilna montāža un izmantošana darbā var pārsniegt parastas pārbaudes apjomu, ja vien bez tās īpašības nav iespējams izvērtēt.</w:t>
      </w:r>
    </w:p>
    <w:p>
      <w:pPr>
        <w:pStyle w:val="Heading1"/>
      </w:pPr>
      <w:r>
        <w:t>6. Izņēmumi un citas tiesības</w:t>
      </w:r>
    </w:p>
    <w:p>
      <w:pPr>
        <w:keepLines w:val="0"/>
        <w:ind w:left="482" w:hanging="482"/>
      </w:pPr>
      <w:r>
        <w:rPr>
          <w:b/>
        </w:rPr>
        <w:t xml:space="preserve">6.1.  </w:t>
      </w:r>
      <w:r>
        <w:t>Atteikuma tiesības neattiecas uz juridisku personu un saimnieciskās darbības veicēju pirkumiem, kā arī uz normatīvajos aktos noteiktajiem izņēmuma gadījumiem, piemēram, pēc patērētāja norādījumiem izgatavotām vai nepārprotami personalizētām precēm.</w:t>
      </w:r>
    </w:p>
    <w:p>
      <w:pPr>
        <w:keepLines w:val="0"/>
        <w:ind w:left="482" w:hanging="482"/>
      </w:pPr>
      <w:r>
        <w:rPr>
          <w:b/>
        </w:rPr>
        <w:t xml:space="preserve">6.2.  </w:t>
      </w:r>
      <w:r>
        <w:t>Atteikuma tiesību izmantošana neierobežo patērētāja tiesības gadījumā, ja prece neatbilst līguma noteikumiem.</w:t>
      </w:r>
    </w:p>
    <w:p>
      <w:pPr>
        <w:spacing w:before="200"/>
      </w:pPr>
      <w:r>
        <w:rPr>
          <w:i/>
          <w:color w:val="5C6873"/>
        </w:rPr>
        <w:t>Pēdējoreiz atjaunināts 2026. gada 16. jūlijā.</w:t>
      </w:r>
    </w:p>
    <w:sectPr w:rsidR="00FC693F" w:rsidRPr="0006063C" w:rsidSect="00034616">
      <w:headerReference w:type="default" r:id="rId9"/>
      <w:footerReference w:type="default" r:id="rId10"/>
      <w:pgSz w:w="11906" w:h="16838"/>
      <w:pgMar w:top="1134" w:right="1134" w:bottom="1020"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jc w:val="right"/>
    </w:pPr>
    <w:r>
      <w:rPr>
        <w:color w:val="5C6873"/>
        <w:sz w:val="16"/>
      </w:rPr>
      <w:t xml:space="preserve">Atteikuma tiesības  •  </w:t>
    </w:r>
    <w: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0"/>
    </w:pPr>
    <w:r>
      <w:rPr>
        <w:b/>
        <w:color w:val="5C6873"/>
        <w:sz w:val="17"/>
      </w:rPr>
      <w:t>SCAFFOLDING.LV  |  Mazcenu Mājas SIA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264" w:lineRule="auto"/>
    </w:pPr>
    <w:rPr>
      <w:rFonts w:ascii="Calibri" w:hAnsi="Calibri"/>
      <w:color w:val="263746"/>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40"/>
      <w:outlineLvl w:val="0"/>
    </w:pPr>
    <w:rPr>
      <w:rFonts w:asciiTheme="majorHAnsi" w:eastAsiaTheme="majorEastAsia" w:hAnsiTheme="majorHAnsi" w:cstheme="majorBidi" w:ascii="Calibri" w:hAnsi="Calibri"/>
      <w:b/>
      <w:bCs/>
      <w:color w:val="078BC1"/>
      <w:sz w:val="30"/>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Calibri" w:hAnsi="Calibri"/>
      <w:b/>
      <w:bCs/>
      <w:color w:val="17324D"/>
      <w:sz w:val="25"/>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7324D"/>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Calibri" w:hAnsi="Calibri"/>
      <w:b/>
      <w:color w:val="17324D"/>
      <w:spacing w:val="5"/>
      <w:kern w:val="28"/>
      <w:sz w:val="4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264" w:lineRule="auto"/>
      <w:ind w:left="510" w:hanging="255"/>
      <w:contextualSpacing/>
    </w:pPr>
    <w:rPr>
      <w:rFonts w:ascii="Calibri" w:hAnsi="Calibri"/>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264" w:lineRule="auto"/>
      <w:ind w:left="510" w:hanging="255"/>
      <w:contextualSpacing/>
    </w:pPr>
    <w:rPr>
      <w:rFonts w:ascii="Calibri" w:hAnsi="Calibri"/>
      <w:sz w:val="21"/>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Scaffolding.lv juridiskā informācija</dc:subject>
  <dc:creator>Mazcenu Mājas SIA</dc:creator>
  <cp:keywords/>
  <dc:description>Labota un atjaunināta versija publicēšanai vietnē Scaffolding.lv.</dc:description>
  <cp:lastModifiedBy/>
  <cp:revision>1</cp:revision>
  <dcterms:created xsi:type="dcterms:W3CDTF">2013-12-23T23:15:00Z</dcterms:created>
  <dcterms:modified xsi:type="dcterms:W3CDTF">2013-12-23T23:15:00Z</dcterms:modified>
  <cp:category/>
</cp:coreProperties>
</file>